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napToGrid w:val="0"/>
        <w:spacing w:line="360" w:lineRule="auto"/>
        <w:jc w:val="center"/>
        <w:rPr>
          <w:rFonts w:ascii="华文中宋" w:hAnsi="华文中宋" w:eastAsia="华文中宋" w:cs="方正小标宋简体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方正小标宋简体"/>
          <w:b/>
          <w:sz w:val="32"/>
          <w:szCs w:val="32"/>
        </w:rPr>
        <w:t>党建与业务深度融合质量提升工程（第一期）</w:t>
      </w:r>
    </w:p>
    <w:p>
      <w:pPr>
        <w:snapToGrid w:val="0"/>
        <w:spacing w:line="360" w:lineRule="auto"/>
        <w:jc w:val="center"/>
        <w:rPr>
          <w:rFonts w:eastAsia="华文中宋"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方正小标宋简体"/>
          <w:b/>
          <w:sz w:val="32"/>
          <w:szCs w:val="32"/>
        </w:rPr>
        <w:t>“培育项目计划”立项名单</w:t>
      </w:r>
    </w:p>
    <w:bookmarkEnd w:id="0"/>
    <w:tbl>
      <w:tblPr>
        <w:tblStyle w:val="2"/>
        <w:tblW w:w="86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35"/>
        <w:gridCol w:w="5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8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毕伟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党建引领聚合力，关爱特殊儿童思想道德教育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陈克铭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王亚南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思政课反哺社区基层党建机制研究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张光润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乔洋敏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党建引领思政课实践教学创新——用上海红色文化资源弘扬历史主动精神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张丽苹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“家国一心”——《中华人民共和国爱国主义教育法》主题教育推广实践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徐恺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以党建引领推进习近平新时代中国特色社会主义思想课程教学改革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jAzOWE0MDIwNWEyOTUxNDVkYWRhNmMyMzViOGQifQ=="/>
  </w:docVars>
  <w:rsids>
    <w:rsidRoot w:val="61541FFA"/>
    <w:rsid w:val="00A82908"/>
    <w:rsid w:val="00DA708E"/>
    <w:rsid w:val="494A5D4C"/>
    <w:rsid w:val="61541FFA"/>
    <w:rsid w:val="70E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485</Characters>
  <Lines>3</Lines>
  <Paragraphs>1</Paragraphs>
  <TotalTime>17</TotalTime>
  <ScaleCrop>false</ScaleCrop>
  <LinksUpToDate>false</LinksUpToDate>
  <CharactersWithSpaces>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2024-06-04T00:42:00Z</dcterms:created>
  <dc:creator>许娜</dc:creator>
  <cp:lastModifiedBy>许娜</cp:lastModifiedBy>
  <dcterms:modified xsi:type="dcterms:W3CDTF">2024-06-04T01:30:47Z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E7F878BFD302481685CD047190596A26_13</vt:lpwstr>
  </property>
</Properties>
</file>